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D8" w:rsidRDefault="00245FD8" w:rsidP="00245FD8">
      <w:pPr>
        <w:spacing w:after="100" w:afterAutospacing="1" w:line="240" w:lineRule="auto"/>
        <w:outlineLvl w:val="0"/>
        <w:rPr>
          <w:rFonts w:ascii="inherit" w:eastAsia="Times New Roman" w:hAnsi="inherit" w:cs="Times New Roman"/>
          <w:color w:val="333333"/>
          <w:kern w:val="36"/>
          <w:sz w:val="28"/>
          <w:szCs w:val="28"/>
          <w:lang w:eastAsia="it-IT"/>
        </w:rPr>
      </w:pPr>
      <w:r w:rsidRPr="00245FD8">
        <w:rPr>
          <w:rFonts w:ascii="inherit" w:eastAsia="Times New Roman" w:hAnsi="inherit" w:cs="Times New Roman"/>
          <w:color w:val="333333"/>
          <w:kern w:val="36"/>
          <w:sz w:val="28"/>
          <w:szCs w:val="28"/>
          <w:lang w:eastAsia="it-IT"/>
        </w:rPr>
        <w:drawing>
          <wp:inline distT="0" distB="0" distL="0" distR="0">
            <wp:extent cx="1032510" cy="715659"/>
            <wp:effectExtent l="19050" t="0" r="0" b="0"/>
            <wp:docPr id="4" name="Immagine 1" descr="File:Commissione europe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mmissione europea.svg - Wikipedia"/>
                    <pic:cNvPicPr>
                      <a:picLocks noChangeAspect="1" noChangeArrowheads="1"/>
                    </pic:cNvPicPr>
                  </pic:nvPicPr>
                  <pic:blipFill>
                    <a:blip r:embed="rId5" cstate="print"/>
                    <a:srcRect/>
                    <a:stretch>
                      <a:fillRect/>
                    </a:stretch>
                  </pic:blipFill>
                  <pic:spPr bwMode="auto">
                    <a:xfrm>
                      <a:off x="0" y="0"/>
                      <a:ext cx="1032082" cy="715362"/>
                    </a:xfrm>
                    <a:prstGeom prst="rect">
                      <a:avLst/>
                    </a:prstGeom>
                    <a:noFill/>
                    <a:ln w="9525">
                      <a:noFill/>
                      <a:miter lim="800000"/>
                      <a:headEnd/>
                      <a:tailEnd/>
                    </a:ln>
                  </pic:spPr>
                </pic:pic>
              </a:graphicData>
            </a:graphic>
          </wp:inline>
        </w:drawing>
      </w:r>
    </w:p>
    <w:p w:rsidR="00245FD8" w:rsidRDefault="00245FD8" w:rsidP="00245FD8">
      <w:pPr>
        <w:spacing w:after="100" w:afterAutospacing="1" w:line="240" w:lineRule="auto"/>
        <w:outlineLvl w:val="0"/>
        <w:rPr>
          <w:rFonts w:ascii="inherit" w:eastAsia="Times New Roman" w:hAnsi="inherit" w:cs="Times New Roman"/>
          <w:color w:val="333333"/>
          <w:kern w:val="36"/>
          <w:sz w:val="28"/>
          <w:szCs w:val="28"/>
          <w:lang w:eastAsia="it-IT"/>
        </w:rPr>
      </w:pPr>
    </w:p>
    <w:p w:rsidR="00245FD8" w:rsidRPr="00245FD8" w:rsidRDefault="00245FD8" w:rsidP="00245FD8">
      <w:pPr>
        <w:spacing w:after="100" w:afterAutospacing="1" w:line="240" w:lineRule="auto"/>
        <w:outlineLvl w:val="0"/>
        <w:rPr>
          <w:rFonts w:ascii="inherit" w:eastAsia="Times New Roman" w:hAnsi="inherit" w:cs="Times New Roman"/>
          <w:color w:val="333333"/>
          <w:kern w:val="36"/>
          <w:sz w:val="28"/>
          <w:szCs w:val="28"/>
          <w:lang w:eastAsia="it-IT"/>
        </w:rPr>
      </w:pPr>
      <w:r w:rsidRPr="00245FD8">
        <w:rPr>
          <w:rFonts w:ascii="inherit" w:eastAsia="Times New Roman" w:hAnsi="inherit" w:cs="Times New Roman"/>
          <w:color w:val="333333"/>
          <w:kern w:val="36"/>
          <w:sz w:val="28"/>
          <w:szCs w:val="28"/>
          <w:lang w:eastAsia="it-IT"/>
        </w:rPr>
        <w:t>Agenda Urbana 2030: dalla UE un bando per far decollare la cooperazione tra città</w:t>
      </w:r>
    </w:p>
    <w:p w:rsidR="00245FD8" w:rsidRDefault="00245FD8" w:rsidP="00245FD8">
      <w:pPr>
        <w:spacing w:after="0" w:line="240" w:lineRule="auto"/>
        <w:rPr>
          <w:rFonts w:ascii="Times New Roman" w:eastAsia="Times New Roman" w:hAnsi="Times New Roman" w:cs="Times New Roman"/>
          <w:sz w:val="15"/>
          <w:lang w:eastAsia="it-IT"/>
        </w:rPr>
      </w:pPr>
      <w:r w:rsidRPr="00245FD8">
        <w:rPr>
          <w:rFonts w:ascii="Times New Roman" w:eastAsia="Times New Roman" w:hAnsi="Times New Roman" w:cs="Times New Roman"/>
          <w:sz w:val="15"/>
          <w:lang w:eastAsia="it-IT"/>
        </w:rPr>
        <w:t>28 Aprile 2021</w:t>
      </w:r>
    </w:p>
    <w:p w:rsidR="00245FD8" w:rsidRPr="00245FD8" w:rsidRDefault="00245FD8" w:rsidP="00245FD8">
      <w:pPr>
        <w:spacing w:after="0" w:line="240" w:lineRule="auto"/>
        <w:rPr>
          <w:rFonts w:ascii="Times New Roman" w:eastAsia="Times New Roman" w:hAnsi="Times New Roman" w:cs="Times New Roman"/>
          <w:sz w:val="24"/>
          <w:szCs w:val="24"/>
          <w:lang w:eastAsia="it-IT"/>
        </w:rPr>
      </w:pP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Nel quadro del programma di cooperazione internazionale urbana e regionale (IURC) è stato aperto un </w:t>
      </w:r>
      <w:r w:rsidRPr="00245FD8">
        <w:rPr>
          <w:rFonts w:ascii="Segoe UI" w:eastAsia="Times New Roman" w:hAnsi="Segoe UI" w:cs="Segoe UI"/>
          <w:b/>
          <w:bCs/>
          <w:sz w:val="19"/>
          <w:lang w:eastAsia="it-IT"/>
        </w:rPr>
        <w:t>bando </w:t>
      </w:r>
      <w:r w:rsidRPr="00245FD8">
        <w:rPr>
          <w:rFonts w:ascii="Segoe UI" w:eastAsia="Times New Roman" w:hAnsi="Segoe UI" w:cs="Segoe UI"/>
          <w:sz w:val="19"/>
          <w:szCs w:val="19"/>
          <w:lang w:eastAsia="it-IT"/>
        </w:rPr>
        <w:t>per </w:t>
      </w:r>
      <w:r w:rsidRPr="00245FD8">
        <w:rPr>
          <w:rFonts w:ascii="Segoe UI" w:eastAsia="Times New Roman" w:hAnsi="Segoe UI" w:cs="Segoe UI"/>
          <w:b/>
          <w:bCs/>
          <w:sz w:val="19"/>
          <w:lang w:eastAsia="it-IT"/>
        </w:rPr>
        <w:t>incoraggiare le città e le regioni di fare rete e condividere soluzioni a problemi comuni</w:t>
      </w:r>
      <w:r w:rsidRPr="00245FD8">
        <w:rPr>
          <w:rFonts w:ascii="Segoe UI" w:eastAsia="Times New Roman" w:hAnsi="Segoe UI" w:cs="Segoe UI"/>
          <w:sz w:val="19"/>
          <w:szCs w:val="19"/>
          <w:lang w:eastAsia="it-IT"/>
        </w:rPr>
        <w:t>, contribuendo agli obiettivi della Nuova Agenda Urbana, dell’Agenda 2030, attraverso una diplomazia city-to-city e sforzi di collaborazione regionale per superare le sfide comuni.</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Il bando intende capitalizzare i risultati e gli insegnamenti tratti dalla prima fase del programma, denominato IUC (attivo per il periodo 2016-2020, che prevedeva cooperazione solo fra città) con l’obiettivo di ottimizzare il valore aggiunto della cooperazione internazionale, trasformando il nuovo programma in una rete internazionale di riferimento per </w:t>
      </w:r>
      <w:r w:rsidRPr="00245FD8">
        <w:rPr>
          <w:rFonts w:ascii="Segoe UI" w:eastAsia="Times New Roman" w:hAnsi="Segoe UI" w:cs="Segoe UI"/>
          <w:b/>
          <w:bCs/>
          <w:sz w:val="19"/>
          <w:lang w:eastAsia="it-IT"/>
        </w:rPr>
        <w:t>l’innovazione urbana e regionale e lo sviluppo urbano sostenibile</w:t>
      </w:r>
      <w:r w:rsidRPr="00245FD8">
        <w:rPr>
          <w:rFonts w:ascii="Segoe UI" w:eastAsia="Times New Roman" w:hAnsi="Segoe UI" w:cs="Segoe UI"/>
          <w:sz w:val="19"/>
          <w:szCs w:val="19"/>
          <w:lang w:eastAsia="it-IT"/>
        </w:rPr>
        <w:t>.</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Finanziato dallo Strumento di partenariato (PI – Partnership Instrument), il bando IURC presenta due componenti:</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sz w:val="19"/>
          <w:lang w:eastAsia="it-IT"/>
        </w:rPr>
        <w:t>1. Cooperazione city-to-city </w:t>
      </w:r>
      <w:r w:rsidRPr="00245FD8">
        <w:rPr>
          <w:rFonts w:ascii="Segoe UI" w:eastAsia="Times New Roman" w:hAnsi="Segoe UI" w:cs="Segoe UI"/>
          <w:sz w:val="19"/>
          <w:szCs w:val="19"/>
          <w:lang w:eastAsia="it-IT"/>
        </w:rPr>
        <w:t>nel settore dello </w:t>
      </w:r>
      <w:r w:rsidRPr="00245FD8">
        <w:rPr>
          <w:rFonts w:ascii="Segoe UI" w:eastAsia="Times New Roman" w:hAnsi="Segoe UI" w:cs="Segoe UI"/>
          <w:b/>
          <w:bCs/>
          <w:sz w:val="19"/>
          <w:lang w:eastAsia="it-IT"/>
        </w:rPr>
        <w:t>sviluppo urbano sostenibile</w:t>
      </w:r>
      <w:r w:rsidRPr="00245FD8">
        <w:rPr>
          <w:rFonts w:ascii="Segoe UI" w:eastAsia="Times New Roman" w:hAnsi="Segoe UI" w:cs="Segoe UI"/>
          <w:sz w:val="19"/>
          <w:szCs w:val="19"/>
          <w:lang w:eastAsia="it-IT"/>
        </w:rPr>
        <w:t>, fra città dell’UE e</w:t>
      </w:r>
      <w:r w:rsidRPr="00245FD8">
        <w:rPr>
          <w:rFonts w:ascii="Segoe UI" w:eastAsia="Times New Roman" w:hAnsi="Segoe UI" w:cs="Segoe UI"/>
          <w:b/>
          <w:bCs/>
          <w:sz w:val="19"/>
          <w:lang w:eastAsia="it-IT"/>
        </w:rPr>
        <w:t> </w:t>
      </w:r>
      <w:r w:rsidRPr="00245FD8">
        <w:rPr>
          <w:rFonts w:ascii="Segoe UI" w:eastAsia="Times New Roman" w:hAnsi="Segoe UI" w:cs="Segoe UI"/>
          <w:sz w:val="19"/>
          <w:szCs w:val="19"/>
          <w:lang w:eastAsia="it-IT"/>
        </w:rPr>
        <w:t>città non-UE stabilite nelle </w:t>
      </w:r>
      <w:r w:rsidRPr="00245FD8">
        <w:rPr>
          <w:rFonts w:ascii="Segoe UI" w:eastAsia="Times New Roman" w:hAnsi="Segoe UI" w:cs="Segoe UI"/>
          <w:b/>
          <w:bCs/>
          <w:i/>
          <w:iCs/>
          <w:sz w:val="19"/>
          <w:lang w:eastAsia="it-IT"/>
        </w:rPr>
        <w:t>Americhe</w:t>
      </w:r>
      <w:r w:rsidRPr="00245FD8">
        <w:rPr>
          <w:rFonts w:ascii="Segoe UI" w:eastAsia="Times New Roman" w:hAnsi="Segoe UI" w:cs="Segoe UI"/>
          <w:sz w:val="19"/>
          <w:szCs w:val="19"/>
          <w:lang w:eastAsia="it-IT"/>
        </w:rPr>
        <w:t> (ovvero Argentina, Brasile, Canada, Cile, Colombia, Messico, Perù e USA), in </w:t>
      </w:r>
      <w:r w:rsidRPr="00245FD8">
        <w:rPr>
          <w:rFonts w:ascii="Segoe UI" w:eastAsia="Times New Roman" w:hAnsi="Segoe UI" w:cs="Segoe UI"/>
          <w:b/>
          <w:bCs/>
          <w:i/>
          <w:iCs/>
          <w:sz w:val="19"/>
          <w:lang w:eastAsia="it-IT"/>
        </w:rPr>
        <w:t>Asia</w:t>
      </w:r>
      <w:r w:rsidRPr="00245FD8">
        <w:rPr>
          <w:rFonts w:ascii="Segoe UI" w:eastAsia="Times New Roman" w:hAnsi="Segoe UI" w:cs="Segoe UI"/>
          <w:sz w:val="19"/>
          <w:szCs w:val="19"/>
          <w:lang w:eastAsia="it-IT"/>
        </w:rPr>
        <w:t> (Cina, India, Indonesia, Giappone, Malesia, Repubblica di Corea , Thailandia e Vietnam) e nel </w:t>
      </w:r>
      <w:r w:rsidRPr="00245FD8">
        <w:rPr>
          <w:rFonts w:ascii="Segoe UI" w:eastAsia="Times New Roman" w:hAnsi="Segoe UI" w:cs="Segoe UI"/>
          <w:b/>
          <w:bCs/>
          <w:sz w:val="19"/>
          <w:lang w:eastAsia="it-IT"/>
        </w:rPr>
        <w:t>Pacifico</w:t>
      </w:r>
      <w:r w:rsidRPr="00245FD8">
        <w:rPr>
          <w:rFonts w:ascii="Segoe UI" w:eastAsia="Times New Roman" w:hAnsi="Segoe UI" w:cs="Segoe UI"/>
          <w:sz w:val="19"/>
          <w:szCs w:val="19"/>
          <w:lang w:eastAsia="it-IT"/>
        </w:rPr>
        <w:t> (Australia e Nuova Zelanda). Nella definizione di </w:t>
      </w:r>
      <w:r w:rsidRPr="00245FD8">
        <w:rPr>
          <w:rFonts w:ascii="Segoe UI" w:eastAsia="Times New Roman" w:hAnsi="Segoe UI" w:cs="Segoe UI"/>
          <w:b/>
          <w:bCs/>
          <w:i/>
          <w:iCs/>
          <w:sz w:val="19"/>
          <w:lang w:eastAsia="it-IT"/>
        </w:rPr>
        <w:t>città </w:t>
      </w:r>
      <w:r w:rsidRPr="00245FD8">
        <w:rPr>
          <w:rFonts w:ascii="Segoe UI" w:eastAsia="Times New Roman" w:hAnsi="Segoe UI" w:cs="Segoe UI"/>
          <w:sz w:val="19"/>
          <w:szCs w:val="19"/>
          <w:lang w:eastAsia="it-IT"/>
        </w:rPr>
        <w:t>sono comprese le città con più di </w:t>
      </w:r>
      <w:r w:rsidRPr="00245FD8">
        <w:rPr>
          <w:rFonts w:ascii="Segoe UI" w:eastAsia="Times New Roman" w:hAnsi="Segoe UI" w:cs="Segoe UI"/>
          <w:b/>
          <w:bCs/>
          <w:sz w:val="19"/>
          <w:lang w:eastAsia="it-IT"/>
        </w:rPr>
        <w:t>100.000 abitanti</w:t>
      </w:r>
      <w:r w:rsidRPr="00245FD8">
        <w:rPr>
          <w:rFonts w:ascii="Segoe UI" w:eastAsia="Times New Roman" w:hAnsi="Segoe UI" w:cs="Segoe UI"/>
          <w:sz w:val="19"/>
          <w:szCs w:val="19"/>
          <w:lang w:eastAsia="it-IT"/>
        </w:rPr>
        <w:t>, le </w:t>
      </w:r>
      <w:r w:rsidRPr="00245FD8">
        <w:rPr>
          <w:rFonts w:ascii="Segoe UI" w:eastAsia="Times New Roman" w:hAnsi="Segoe UI" w:cs="Segoe UI"/>
          <w:b/>
          <w:bCs/>
          <w:sz w:val="19"/>
          <w:lang w:eastAsia="it-IT"/>
        </w:rPr>
        <w:t>Aree metropolitane</w:t>
      </w:r>
      <w:r w:rsidRPr="00245FD8">
        <w:rPr>
          <w:rFonts w:ascii="Segoe UI" w:eastAsia="Times New Roman" w:hAnsi="Segoe UI" w:cs="Segoe UI"/>
          <w:sz w:val="19"/>
          <w:szCs w:val="19"/>
          <w:lang w:eastAsia="it-IT"/>
        </w:rPr>
        <w:t> e le </w:t>
      </w:r>
      <w:r w:rsidRPr="00245FD8">
        <w:rPr>
          <w:rFonts w:ascii="Segoe UI" w:eastAsia="Times New Roman" w:hAnsi="Segoe UI" w:cs="Segoe UI"/>
          <w:b/>
          <w:bCs/>
          <w:sz w:val="19"/>
          <w:lang w:eastAsia="it-IT"/>
        </w:rPr>
        <w:t>aree funzionali</w:t>
      </w:r>
      <w:r w:rsidRPr="00245FD8">
        <w:rPr>
          <w:rFonts w:ascii="Segoe UI" w:eastAsia="Times New Roman" w:hAnsi="Segoe UI" w:cs="Segoe UI"/>
          <w:sz w:val="19"/>
          <w:szCs w:val="19"/>
          <w:lang w:eastAsia="it-IT"/>
        </w:rPr>
        <w:t>. Per candidarsi le città devono inoltre avere una strategia di sviluppo urbano (o documento similare) approvata.</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sz w:val="19"/>
          <w:lang w:eastAsia="it-IT"/>
        </w:rPr>
        <w:t>2. Cooperazione fra regioni</w:t>
      </w:r>
      <w:r w:rsidRPr="00245FD8">
        <w:rPr>
          <w:rFonts w:ascii="Segoe UI" w:eastAsia="Times New Roman" w:hAnsi="Segoe UI" w:cs="Segoe UI"/>
          <w:sz w:val="19"/>
          <w:szCs w:val="19"/>
          <w:lang w:eastAsia="it-IT"/>
        </w:rPr>
        <w:t> nel settore dell’</w:t>
      </w:r>
      <w:r w:rsidRPr="00245FD8">
        <w:rPr>
          <w:rFonts w:ascii="Segoe UI" w:eastAsia="Times New Roman" w:hAnsi="Segoe UI" w:cs="Segoe UI"/>
          <w:b/>
          <w:bCs/>
          <w:sz w:val="19"/>
          <w:lang w:eastAsia="it-IT"/>
        </w:rPr>
        <w:t>innovazione</w:t>
      </w:r>
      <w:r w:rsidRPr="00245FD8">
        <w:rPr>
          <w:rFonts w:ascii="Segoe UI" w:eastAsia="Times New Roman" w:hAnsi="Segoe UI" w:cs="Segoe UI"/>
          <w:sz w:val="19"/>
          <w:szCs w:val="19"/>
          <w:lang w:eastAsia="it-IT"/>
        </w:rPr>
        <w:t>, che coinvolge regione dell’UE con regioni della </w:t>
      </w:r>
      <w:r w:rsidRPr="00245FD8">
        <w:rPr>
          <w:rFonts w:ascii="Segoe UI" w:eastAsia="Times New Roman" w:hAnsi="Segoe UI" w:cs="Segoe UI"/>
          <w:b/>
          <w:bCs/>
          <w:sz w:val="19"/>
          <w:lang w:eastAsia="it-IT"/>
        </w:rPr>
        <w:t>Cina</w:t>
      </w:r>
      <w:r w:rsidRPr="00245FD8">
        <w:rPr>
          <w:rFonts w:ascii="Segoe UI" w:eastAsia="Times New Roman" w:hAnsi="Segoe UI" w:cs="Segoe UI"/>
          <w:sz w:val="19"/>
          <w:szCs w:val="19"/>
          <w:lang w:eastAsia="it-IT"/>
        </w:rPr>
        <w:t> e dell’</w:t>
      </w:r>
      <w:r w:rsidRPr="00245FD8">
        <w:rPr>
          <w:rFonts w:ascii="Segoe UI" w:eastAsia="Times New Roman" w:hAnsi="Segoe UI" w:cs="Segoe UI"/>
          <w:b/>
          <w:bCs/>
          <w:sz w:val="19"/>
          <w:lang w:eastAsia="it-IT"/>
        </w:rPr>
        <w:t>America latina</w:t>
      </w:r>
      <w:r w:rsidRPr="00245FD8">
        <w:rPr>
          <w:rFonts w:ascii="Segoe UI" w:eastAsia="Times New Roman" w:hAnsi="Segoe UI" w:cs="Segoe UI"/>
          <w:sz w:val="19"/>
          <w:szCs w:val="19"/>
          <w:lang w:eastAsia="it-IT"/>
        </w:rPr>
        <w:t> (Argentina, Brasile, Cile, Colombia, Messico e Perù).</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I </w:t>
      </w:r>
      <w:r w:rsidRPr="00245FD8">
        <w:rPr>
          <w:rFonts w:ascii="Segoe UI" w:eastAsia="Times New Roman" w:hAnsi="Segoe UI" w:cs="Segoe UI"/>
          <w:b/>
          <w:bCs/>
          <w:sz w:val="19"/>
          <w:lang w:eastAsia="it-IT"/>
        </w:rPr>
        <w:t>temi di cooperazione</w:t>
      </w:r>
      <w:r w:rsidRPr="00245FD8">
        <w:rPr>
          <w:rFonts w:ascii="Segoe UI" w:eastAsia="Times New Roman" w:hAnsi="Segoe UI" w:cs="Segoe UI"/>
          <w:sz w:val="19"/>
          <w:szCs w:val="19"/>
          <w:lang w:eastAsia="it-IT"/>
        </w:rPr>
        <w:t>, distinti fra le due componenti, sono organizzati all’interno di </w:t>
      </w:r>
      <w:r w:rsidRPr="00245FD8">
        <w:rPr>
          <w:rFonts w:ascii="Segoe UI" w:eastAsia="Times New Roman" w:hAnsi="Segoe UI" w:cs="Segoe UI"/>
          <w:b/>
          <w:bCs/>
          <w:sz w:val="19"/>
          <w:lang w:eastAsia="it-IT"/>
        </w:rPr>
        <w:t>3 </w:t>
      </w:r>
      <w:r w:rsidRPr="00245FD8">
        <w:rPr>
          <w:rFonts w:ascii="Segoe UI" w:eastAsia="Times New Roman" w:hAnsi="Segoe UI" w:cs="Segoe UI"/>
          <w:b/>
          <w:bCs/>
          <w:i/>
          <w:iCs/>
          <w:sz w:val="19"/>
          <w:lang w:eastAsia="it-IT"/>
        </w:rPr>
        <w:t>reti tematiche</w:t>
      </w:r>
      <w:r w:rsidRPr="00245FD8">
        <w:rPr>
          <w:rFonts w:ascii="Segoe UI" w:eastAsia="Times New Roman" w:hAnsi="Segoe UI" w:cs="Segoe UI"/>
          <w:sz w:val="19"/>
          <w:szCs w:val="19"/>
          <w:lang w:eastAsia="it-IT"/>
        </w:rPr>
        <w:t>:</w:t>
      </w:r>
      <w:r w:rsidRPr="00245FD8">
        <w:rPr>
          <w:rFonts w:ascii="Segoe UI" w:eastAsia="Times New Roman" w:hAnsi="Segoe UI" w:cs="Segoe UI"/>
          <w:sz w:val="19"/>
          <w:szCs w:val="19"/>
          <w:lang w:eastAsia="it-IT"/>
        </w:rPr>
        <w:br/>
      </w:r>
      <w:r w:rsidRPr="00245FD8">
        <w:rPr>
          <w:rFonts w:ascii="Segoe UI" w:eastAsia="Times New Roman" w:hAnsi="Segoe UI" w:cs="Segoe UI"/>
          <w:b/>
          <w:bCs/>
          <w:sz w:val="19"/>
          <w:lang w:eastAsia="it-IT"/>
        </w:rPr>
        <w:t>1. Transizione ecologica e Green Deal</w:t>
      </w:r>
      <w:r w:rsidRPr="00245FD8">
        <w:rPr>
          <w:rFonts w:ascii="Segoe UI" w:eastAsia="Times New Roman" w:hAnsi="Segoe UI" w:cs="Segoe UI"/>
          <w:sz w:val="19"/>
          <w:szCs w:val="19"/>
          <w:lang w:eastAsia="it-IT"/>
        </w:rPr>
        <w:t> (un’Europa più verde)</w:t>
      </w:r>
      <w:r w:rsidRPr="00245FD8">
        <w:rPr>
          <w:rFonts w:ascii="Segoe UI" w:eastAsia="Times New Roman" w:hAnsi="Segoe UI" w:cs="Segoe UI"/>
          <w:sz w:val="19"/>
          <w:szCs w:val="19"/>
          <w:lang w:eastAsia="it-IT"/>
        </w:rPr>
        <w:br/>
        <w:t>– economia circolare, gestione dei rifiuti e plastica (cooperazione city-to-city)</w:t>
      </w:r>
      <w:r w:rsidRPr="00245FD8">
        <w:rPr>
          <w:rFonts w:ascii="Segoe UI" w:eastAsia="Times New Roman" w:hAnsi="Segoe UI" w:cs="Segoe UI"/>
          <w:sz w:val="19"/>
          <w:szCs w:val="19"/>
          <w:lang w:eastAsia="it-IT"/>
        </w:rPr>
        <w:br/>
        <w:t>– soluzioni basate sulla natura, inverdimento, gestione delle acque (cooperazione city-to-city)</w:t>
      </w:r>
      <w:r w:rsidRPr="00245FD8">
        <w:rPr>
          <w:rFonts w:ascii="Segoe UI" w:eastAsia="Times New Roman" w:hAnsi="Segoe UI" w:cs="Segoe UI"/>
          <w:sz w:val="19"/>
          <w:szCs w:val="19"/>
          <w:lang w:eastAsia="it-IT"/>
        </w:rPr>
        <w:br/>
        <w:t>– agricoltura urbana sostenibile, cibo sano, orti urbani (cooperazione city-to-city)</w:t>
      </w:r>
      <w:r w:rsidRPr="00245FD8">
        <w:rPr>
          <w:rFonts w:ascii="Segoe UI" w:eastAsia="Times New Roman" w:hAnsi="Segoe UI" w:cs="Segoe UI"/>
          <w:sz w:val="19"/>
          <w:szCs w:val="19"/>
          <w:lang w:eastAsia="it-IT"/>
        </w:rPr>
        <w:br/>
        <w:t>– renovation wave decarbonizzata, efficienza energetica degli edifici (cooperazione city-to-city)</w:t>
      </w:r>
      <w:r w:rsidRPr="00245FD8">
        <w:rPr>
          <w:rFonts w:ascii="Segoe UI" w:eastAsia="Times New Roman" w:hAnsi="Segoe UI" w:cs="Segoe UI"/>
          <w:sz w:val="19"/>
          <w:szCs w:val="19"/>
          <w:lang w:eastAsia="it-IT"/>
        </w:rPr>
        <w:br/>
        <w:t>– agricoltura urbana sostenibile, catene agrofood, sistemi di nutrizione, tecnologie 4.0 (cooperazione tra regioni)</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sz w:val="19"/>
          <w:lang w:eastAsia="it-IT"/>
        </w:rPr>
        <w:t>2. Rinnovamento urbano e regionale e povertà urbana </w:t>
      </w:r>
      <w:r w:rsidRPr="00245FD8">
        <w:rPr>
          <w:rFonts w:ascii="Segoe UI" w:eastAsia="Times New Roman" w:hAnsi="Segoe UI" w:cs="Segoe UI"/>
          <w:sz w:val="19"/>
          <w:szCs w:val="19"/>
          <w:lang w:eastAsia="it-IT"/>
        </w:rPr>
        <w:t>(un’Europa più connessa e sociale)</w:t>
      </w:r>
      <w:r w:rsidRPr="00245FD8">
        <w:rPr>
          <w:rFonts w:ascii="Segoe UI" w:eastAsia="Times New Roman" w:hAnsi="Segoe UI" w:cs="Segoe UI"/>
          <w:sz w:val="19"/>
          <w:szCs w:val="19"/>
          <w:lang w:eastAsia="it-IT"/>
        </w:rPr>
        <w:br/>
        <w:t>– agende urbane/pianificazione urbana, strategie di sviluppo urbano, spazi pubblici, modelli urbani (cooperazione city-to-city)</w:t>
      </w:r>
      <w:r w:rsidRPr="00245FD8">
        <w:rPr>
          <w:rFonts w:ascii="Segoe UI" w:eastAsia="Times New Roman" w:hAnsi="Segoe UI" w:cs="Segoe UI"/>
          <w:sz w:val="19"/>
          <w:szCs w:val="19"/>
          <w:lang w:eastAsia="it-IT"/>
        </w:rPr>
        <w:br/>
        <w:t>– mobilità e trasporti, strade per le persone, superblocks, connessioni metropolitane (cooperazione city-to-city)</w:t>
      </w:r>
      <w:r w:rsidRPr="00245FD8">
        <w:rPr>
          <w:rFonts w:ascii="Segoe UI" w:eastAsia="Times New Roman" w:hAnsi="Segoe UI" w:cs="Segoe UI"/>
          <w:sz w:val="19"/>
          <w:szCs w:val="19"/>
          <w:lang w:eastAsia="it-IT"/>
        </w:rPr>
        <w:br/>
        <w:t>– povertà urbana, alloggi, coesione sociale (cooperazione city-to-city)</w:t>
      </w:r>
      <w:r w:rsidRPr="00245FD8">
        <w:rPr>
          <w:rFonts w:ascii="Segoe UI" w:eastAsia="Times New Roman" w:hAnsi="Segoe UI" w:cs="Segoe UI"/>
          <w:sz w:val="19"/>
          <w:szCs w:val="19"/>
          <w:lang w:eastAsia="it-IT"/>
        </w:rPr>
        <w:br/>
        <w:t>– industria 5.0, competitività, diversificazione produttiva (cooperazione tra regioni)</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sz w:val="19"/>
          <w:lang w:eastAsia="it-IT"/>
        </w:rPr>
        <w:t>3. Ecosistemi innovativi sostenibili e ad emissione zero e settori strategici</w:t>
      </w:r>
      <w:r w:rsidRPr="00245FD8">
        <w:rPr>
          <w:rFonts w:ascii="Segoe UI" w:eastAsia="Times New Roman" w:hAnsi="Segoe UI" w:cs="Segoe UI"/>
          <w:sz w:val="19"/>
          <w:szCs w:val="19"/>
          <w:lang w:eastAsia="it-IT"/>
        </w:rPr>
        <w:br/>
        <w:t>– turismo e cultura (cooperazione city-to-city)</w:t>
      </w:r>
      <w:r w:rsidRPr="00245FD8">
        <w:rPr>
          <w:rFonts w:ascii="Segoe UI" w:eastAsia="Times New Roman" w:hAnsi="Segoe UI" w:cs="Segoe UI"/>
          <w:sz w:val="19"/>
          <w:szCs w:val="19"/>
          <w:lang w:eastAsia="it-IT"/>
        </w:rPr>
        <w:br/>
        <w:t>– salute, life science, invecchiamento, bio economia (cooperazione city-to-city)</w:t>
      </w:r>
      <w:r w:rsidRPr="00245FD8">
        <w:rPr>
          <w:rFonts w:ascii="Segoe UI" w:eastAsia="Times New Roman" w:hAnsi="Segoe UI" w:cs="Segoe UI"/>
          <w:sz w:val="19"/>
          <w:szCs w:val="19"/>
          <w:lang w:eastAsia="it-IT"/>
        </w:rPr>
        <w:br/>
        <w:t>– istruzione, lavori e competenze, centri per l’innovazione, business clusters (cooperazione city-to-city)</w:t>
      </w:r>
      <w:r w:rsidRPr="00245FD8">
        <w:rPr>
          <w:rFonts w:ascii="Segoe UI" w:eastAsia="Times New Roman" w:hAnsi="Segoe UI" w:cs="Segoe UI"/>
          <w:sz w:val="19"/>
          <w:szCs w:val="19"/>
          <w:lang w:eastAsia="it-IT"/>
        </w:rPr>
        <w:br/>
        <w:t>– turismo e cultura, diversificazione, slow-food e forniture (cooperazione tra regioni)</w:t>
      </w:r>
      <w:r w:rsidRPr="00245FD8">
        <w:rPr>
          <w:rFonts w:ascii="Segoe UI" w:eastAsia="Times New Roman" w:hAnsi="Segoe UI" w:cs="Segoe UI"/>
          <w:sz w:val="19"/>
          <w:szCs w:val="19"/>
          <w:lang w:eastAsia="it-IT"/>
        </w:rPr>
        <w:br/>
      </w:r>
      <w:r w:rsidRPr="00245FD8">
        <w:rPr>
          <w:rFonts w:ascii="Segoe UI" w:eastAsia="Times New Roman" w:hAnsi="Segoe UI" w:cs="Segoe UI"/>
          <w:sz w:val="19"/>
          <w:szCs w:val="19"/>
          <w:lang w:eastAsia="it-IT"/>
        </w:rPr>
        <w:lastRenderedPageBreak/>
        <w:t>– innovazione regionale e Smart &amp; Sustainable Specialization Strategies – RIS4 (cooperazione tra regioni)</w:t>
      </w:r>
      <w:r w:rsidRPr="00245FD8">
        <w:rPr>
          <w:rFonts w:ascii="Segoe UI" w:eastAsia="Times New Roman" w:hAnsi="Segoe UI" w:cs="Segoe UI"/>
          <w:sz w:val="19"/>
          <w:szCs w:val="19"/>
          <w:lang w:eastAsia="it-IT"/>
        </w:rPr>
        <w:br/>
        <w:t>– istruzione, lavori e competenze (cooperazione tra regioni)</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Oltre a </w:t>
      </w:r>
      <w:r w:rsidRPr="00245FD8">
        <w:rPr>
          <w:rFonts w:ascii="Segoe UI" w:eastAsia="Times New Roman" w:hAnsi="Segoe UI" w:cs="Segoe UI"/>
          <w:b/>
          <w:bCs/>
          <w:sz w:val="19"/>
          <w:lang w:eastAsia="it-IT"/>
        </w:rPr>
        <w:t>3 sfide trasversali</w:t>
      </w:r>
      <w:r w:rsidRPr="00245FD8">
        <w:rPr>
          <w:rFonts w:ascii="Segoe UI" w:eastAsia="Times New Roman" w:hAnsi="Segoe UI" w:cs="Segoe UI"/>
          <w:sz w:val="19"/>
          <w:szCs w:val="19"/>
          <w:lang w:eastAsia="it-IT"/>
        </w:rPr>
        <w:t>:</w:t>
      </w:r>
      <w:r w:rsidRPr="00245FD8">
        <w:rPr>
          <w:rFonts w:ascii="Segoe UI" w:eastAsia="Times New Roman" w:hAnsi="Segoe UI" w:cs="Segoe UI"/>
          <w:sz w:val="19"/>
          <w:szCs w:val="19"/>
          <w:lang w:eastAsia="it-IT"/>
        </w:rPr>
        <w:br/>
        <w:t>– Transizione digitale e smart cities</w:t>
      </w:r>
      <w:r w:rsidRPr="00245FD8">
        <w:rPr>
          <w:rFonts w:ascii="Segoe UI" w:eastAsia="Times New Roman" w:hAnsi="Segoe UI" w:cs="Segoe UI"/>
          <w:sz w:val="19"/>
          <w:szCs w:val="19"/>
          <w:lang w:eastAsia="it-IT"/>
        </w:rPr>
        <w:br/>
        <w:t>– Transizione energetica e cambiamenti climatici</w:t>
      </w:r>
      <w:r w:rsidRPr="00245FD8">
        <w:rPr>
          <w:rFonts w:ascii="Segoe UI" w:eastAsia="Times New Roman" w:hAnsi="Segoe UI" w:cs="Segoe UI"/>
          <w:sz w:val="19"/>
          <w:szCs w:val="19"/>
          <w:lang w:eastAsia="it-IT"/>
        </w:rPr>
        <w:br/>
        <w:t>– Ripresa post Covid – giustizia sociale e inclusione.</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Per partecipare le città/regioni devono inviare la loro candidatura compilando un formulario (specifico per categoria) all’interno del quale dovranno selezionare le aree di cooperazione di loro interesse fra quelle previste per la loro categoria. Le candidature pervenute saranno valutate e selezionate e quindi le città/regioni </w:t>
      </w:r>
      <w:r w:rsidRPr="00245FD8">
        <w:rPr>
          <w:rFonts w:ascii="Segoe UI" w:eastAsia="Times New Roman" w:hAnsi="Segoe UI" w:cs="Segoe UI"/>
          <w:b/>
          <w:bCs/>
          <w:i/>
          <w:iCs/>
          <w:sz w:val="19"/>
          <w:lang w:eastAsia="it-IT"/>
        </w:rPr>
        <w:t>abbinate</w:t>
      </w:r>
      <w:r w:rsidRPr="00245FD8">
        <w:rPr>
          <w:rFonts w:ascii="Segoe UI" w:eastAsia="Times New Roman" w:hAnsi="Segoe UI" w:cs="Segoe UI"/>
          <w:sz w:val="19"/>
          <w:szCs w:val="19"/>
          <w:lang w:eastAsia="it-IT"/>
        </w:rPr>
        <w:t> con loro omologhe non-UE interessate agli stessi temi/sotto-temi, con caratteristiche simili, che organizzeranno incontri e scambi reciprocamente proficui.</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Le città partecipanti (selezionate e appaiate con loro omologhe non-UE) diverranno parte di un’ampia comunità di </w:t>
      </w:r>
      <w:r w:rsidRPr="00245FD8">
        <w:rPr>
          <w:rFonts w:ascii="Segoe UI" w:eastAsia="Times New Roman" w:hAnsi="Segoe UI" w:cs="Segoe UI"/>
          <w:i/>
          <w:iCs/>
          <w:sz w:val="19"/>
          <w:lang w:eastAsia="it-IT"/>
        </w:rPr>
        <w:t>pari </w:t>
      </w:r>
      <w:r w:rsidRPr="00245FD8">
        <w:rPr>
          <w:rFonts w:ascii="Segoe UI" w:eastAsia="Times New Roman" w:hAnsi="Segoe UI" w:cs="Segoe UI"/>
          <w:sz w:val="19"/>
          <w:szCs w:val="19"/>
          <w:lang w:eastAsia="it-IT"/>
        </w:rPr>
        <w:t>e stakeholder coinvolti a vari livelli:</w:t>
      </w:r>
    </w:p>
    <w:p w:rsidR="00245FD8" w:rsidRPr="00245FD8" w:rsidRDefault="00245FD8" w:rsidP="00245FD8">
      <w:pPr>
        <w:numPr>
          <w:ilvl w:val="0"/>
          <w:numId w:val="1"/>
        </w:numPr>
        <w:shd w:val="clear" w:color="auto" w:fill="FFFFFF"/>
        <w:spacing w:before="100" w:beforeAutospacing="1"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i/>
          <w:iCs/>
          <w:sz w:val="19"/>
          <w:lang w:eastAsia="it-IT"/>
        </w:rPr>
        <w:t>In reti globali</w:t>
      </w:r>
      <w:r w:rsidRPr="00245FD8">
        <w:rPr>
          <w:rFonts w:ascii="Segoe UI" w:eastAsia="Times New Roman" w:hAnsi="Segoe UI" w:cs="Segoe UI"/>
          <w:sz w:val="19"/>
          <w:szCs w:val="19"/>
          <w:lang w:eastAsia="it-IT"/>
        </w:rPr>
        <w:t>: che organizzeranno eventi tematici e di networking, sessioni tecniche e formazione su temi specifici</w:t>
      </w:r>
    </w:p>
    <w:p w:rsidR="00245FD8" w:rsidRPr="00245FD8" w:rsidRDefault="00245FD8" w:rsidP="00245FD8">
      <w:pPr>
        <w:numPr>
          <w:ilvl w:val="0"/>
          <w:numId w:val="1"/>
        </w:numPr>
        <w:shd w:val="clear" w:color="auto" w:fill="FFFFFF"/>
        <w:spacing w:before="100" w:beforeAutospacing="1"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i/>
          <w:iCs/>
          <w:sz w:val="19"/>
          <w:lang w:eastAsia="it-IT"/>
        </w:rPr>
        <w:t>In abbinamenti 1 a 1</w:t>
      </w:r>
      <w:r w:rsidRPr="00245FD8">
        <w:rPr>
          <w:rFonts w:ascii="Segoe UI" w:eastAsia="Times New Roman" w:hAnsi="Segoe UI" w:cs="Segoe UI"/>
          <w:sz w:val="19"/>
          <w:szCs w:val="19"/>
          <w:lang w:eastAsia="it-IT"/>
        </w:rPr>
        <w:t>: i rappresentanti delle città/regioni abbinate organizzeranno scambi di apprendimento, condivisione di conoscenze e attività di </w:t>
      </w:r>
      <w:r w:rsidRPr="00245FD8">
        <w:rPr>
          <w:rFonts w:ascii="Segoe UI" w:eastAsia="Times New Roman" w:hAnsi="Segoe UI" w:cs="Segoe UI"/>
          <w:i/>
          <w:iCs/>
          <w:sz w:val="19"/>
          <w:lang w:eastAsia="it-IT"/>
        </w:rPr>
        <w:t>capacity building</w:t>
      </w:r>
      <w:r w:rsidRPr="00245FD8">
        <w:rPr>
          <w:rFonts w:ascii="Segoe UI" w:eastAsia="Times New Roman" w:hAnsi="Segoe UI" w:cs="Segoe UI"/>
          <w:sz w:val="19"/>
          <w:szCs w:val="19"/>
          <w:lang w:eastAsia="it-IT"/>
        </w:rPr>
        <w:t> e svilupperanno insieme un </w:t>
      </w:r>
      <w:r w:rsidRPr="00245FD8">
        <w:rPr>
          <w:rFonts w:ascii="Segoe UI" w:eastAsia="Times New Roman" w:hAnsi="Segoe UI" w:cs="Segoe UI"/>
          <w:b/>
          <w:bCs/>
          <w:sz w:val="19"/>
          <w:lang w:eastAsia="it-IT"/>
        </w:rPr>
        <w:t>piano d’azione per la cooperazione urbana/regionale</w:t>
      </w:r>
      <w:r w:rsidRPr="00245FD8">
        <w:rPr>
          <w:rFonts w:ascii="Segoe UI" w:eastAsia="Times New Roman" w:hAnsi="Segoe UI" w:cs="Segoe UI"/>
          <w:sz w:val="19"/>
          <w:szCs w:val="19"/>
          <w:lang w:eastAsia="it-IT"/>
        </w:rPr>
        <w:t> (uno schema condiviso in cui gli obiettivi sono identificati e le azioni sono pianificate con l’obiettivo di creare politiche e pratiche nell’ambito delle priorità tematiche scelte) che fungerà da </w:t>
      </w:r>
      <w:r w:rsidRPr="00245FD8">
        <w:rPr>
          <w:rFonts w:ascii="Segoe UI" w:eastAsia="Times New Roman" w:hAnsi="Segoe UI" w:cs="Segoe UI"/>
          <w:i/>
          <w:iCs/>
          <w:sz w:val="19"/>
          <w:lang w:eastAsia="it-IT"/>
        </w:rPr>
        <w:t>roadmap</w:t>
      </w:r>
      <w:r w:rsidRPr="00245FD8">
        <w:rPr>
          <w:rFonts w:ascii="Segoe UI" w:eastAsia="Times New Roman" w:hAnsi="Segoe UI" w:cs="Segoe UI"/>
          <w:sz w:val="19"/>
          <w:szCs w:val="19"/>
          <w:lang w:eastAsia="it-IT"/>
        </w:rPr>
        <w:t> nel corso della cooperazione</w:t>
      </w:r>
    </w:p>
    <w:p w:rsidR="00245FD8" w:rsidRPr="00245FD8" w:rsidRDefault="00245FD8" w:rsidP="00245FD8">
      <w:pPr>
        <w:numPr>
          <w:ilvl w:val="0"/>
          <w:numId w:val="1"/>
        </w:numPr>
        <w:shd w:val="clear" w:color="auto" w:fill="FFFFFF"/>
        <w:spacing w:before="100" w:beforeAutospacing="1"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b/>
          <w:bCs/>
          <w:i/>
          <w:iCs/>
          <w:sz w:val="19"/>
          <w:lang w:eastAsia="it-IT"/>
        </w:rPr>
        <w:t>In cluster</w:t>
      </w:r>
      <w:r w:rsidRPr="00245FD8">
        <w:rPr>
          <w:rFonts w:ascii="Segoe UI" w:eastAsia="Times New Roman" w:hAnsi="Segoe UI" w:cs="Segoe UI"/>
          <w:sz w:val="19"/>
          <w:szCs w:val="19"/>
          <w:lang w:eastAsia="it-IT"/>
        </w:rPr>
        <w:t>: le città/regioni abbinate avranno l’opportunità di formare piccoli cluster all’interno dei quali condividere soluzioni e conoscenze su sfide similari e temi di cooperazione all’interno della stessa area geografica</w:t>
      </w:r>
    </w:p>
    <w:p w:rsidR="00245FD8" w:rsidRPr="00245FD8" w:rsidRDefault="00245FD8" w:rsidP="00245FD8">
      <w:pPr>
        <w:shd w:val="clear" w:color="auto" w:fill="FFFFFF"/>
        <w:spacing w:after="100" w:afterAutospacing="1" w:line="240" w:lineRule="auto"/>
        <w:rPr>
          <w:rFonts w:ascii="Segoe UI" w:eastAsia="Times New Roman" w:hAnsi="Segoe UI" w:cs="Segoe UI"/>
          <w:sz w:val="19"/>
          <w:szCs w:val="19"/>
          <w:lang w:eastAsia="it-IT"/>
        </w:rPr>
      </w:pPr>
      <w:r w:rsidRPr="00245FD8">
        <w:rPr>
          <w:rFonts w:ascii="Segoe UI" w:eastAsia="Times New Roman" w:hAnsi="Segoe UI" w:cs="Segoe UI"/>
          <w:sz w:val="19"/>
          <w:szCs w:val="19"/>
          <w:lang w:eastAsia="it-IT"/>
        </w:rPr>
        <w:t>La cooperazione avrà una durata di 18-24 mesi. La scadenza per la compilazione delle domande è il </w:t>
      </w:r>
      <w:r w:rsidRPr="00245FD8">
        <w:rPr>
          <w:rFonts w:ascii="Segoe UI" w:eastAsia="Times New Roman" w:hAnsi="Segoe UI" w:cs="Segoe UI"/>
          <w:b/>
          <w:bCs/>
          <w:sz w:val="19"/>
          <w:lang w:eastAsia="it-IT"/>
        </w:rPr>
        <w:t>31 maggio 2021.</w:t>
      </w:r>
    </w:p>
    <w:p w:rsidR="006B7E45" w:rsidRDefault="006B7E45"/>
    <w:sectPr w:rsidR="006B7E45" w:rsidSect="006B7E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5CD0"/>
    <w:multiLevelType w:val="multilevel"/>
    <w:tmpl w:val="175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5FD8"/>
    <w:rsid w:val="00245FD8"/>
    <w:rsid w:val="00277733"/>
    <w:rsid w:val="006B7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E45"/>
  </w:style>
  <w:style w:type="paragraph" w:styleId="Titolo1">
    <w:name w:val="heading 1"/>
    <w:basedOn w:val="Normale"/>
    <w:link w:val="Titolo1Carattere"/>
    <w:uiPriority w:val="9"/>
    <w:qFormat/>
    <w:rsid w:val="00245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5FD8"/>
    <w:rPr>
      <w:rFonts w:ascii="Times New Roman" w:eastAsia="Times New Roman" w:hAnsi="Times New Roman" w:cs="Times New Roman"/>
      <w:b/>
      <w:bCs/>
      <w:kern w:val="36"/>
      <w:sz w:val="48"/>
      <w:szCs w:val="48"/>
      <w:lang w:eastAsia="it-IT"/>
    </w:rPr>
  </w:style>
  <w:style w:type="character" w:customStyle="1" w:styleId="posted-on">
    <w:name w:val="posted-on"/>
    <w:basedOn w:val="Carpredefinitoparagrafo"/>
    <w:rsid w:val="00245FD8"/>
  </w:style>
  <w:style w:type="paragraph" w:styleId="NormaleWeb">
    <w:name w:val="Normal (Web)"/>
    <w:basedOn w:val="Normale"/>
    <w:uiPriority w:val="99"/>
    <w:semiHidden/>
    <w:unhideWhenUsed/>
    <w:rsid w:val="00245F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5FD8"/>
    <w:rPr>
      <w:b/>
      <w:bCs/>
    </w:rPr>
  </w:style>
  <w:style w:type="character" w:styleId="Enfasicorsivo">
    <w:name w:val="Emphasis"/>
    <w:basedOn w:val="Carpredefinitoparagrafo"/>
    <w:uiPriority w:val="20"/>
    <w:qFormat/>
    <w:rsid w:val="00245FD8"/>
    <w:rPr>
      <w:i/>
      <w:iCs/>
    </w:rPr>
  </w:style>
  <w:style w:type="paragraph" w:styleId="Testofumetto">
    <w:name w:val="Balloon Text"/>
    <w:basedOn w:val="Normale"/>
    <w:link w:val="TestofumettoCarattere"/>
    <w:uiPriority w:val="99"/>
    <w:semiHidden/>
    <w:unhideWhenUsed/>
    <w:rsid w:val="00245F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5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518535">
      <w:bodyDiv w:val="1"/>
      <w:marLeft w:val="0"/>
      <w:marRight w:val="0"/>
      <w:marTop w:val="0"/>
      <w:marBottom w:val="0"/>
      <w:divBdr>
        <w:top w:val="none" w:sz="0" w:space="0" w:color="auto"/>
        <w:left w:val="none" w:sz="0" w:space="0" w:color="auto"/>
        <w:bottom w:val="none" w:sz="0" w:space="0" w:color="auto"/>
        <w:right w:val="none" w:sz="0" w:space="0" w:color="auto"/>
      </w:divBdr>
      <w:divsChild>
        <w:div w:id="88240917">
          <w:marLeft w:val="0"/>
          <w:marRight w:val="0"/>
          <w:marTop w:val="0"/>
          <w:marBottom w:val="0"/>
          <w:divBdr>
            <w:top w:val="none" w:sz="0" w:space="0" w:color="auto"/>
            <w:left w:val="none" w:sz="0" w:space="0" w:color="auto"/>
            <w:bottom w:val="none" w:sz="0" w:space="0" w:color="auto"/>
            <w:right w:val="none" w:sz="0" w:space="0" w:color="auto"/>
          </w:divBdr>
        </w:div>
        <w:div w:id="135653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2021-04-29T09:45:00Z</cp:lastPrinted>
  <dcterms:created xsi:type="dcterms:W3CDTF">2021-04-29T09:43:00Z</dcterms:created>
  <dcterms:modified xsi:type="dcterms:W3CDTF">2021-04-29T09:47:00Z</dcterms:modified>
</cp:coreProperties>
</file>